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EE" w:rsidRPr="00272BEE" w:rsidRDefault="00272BEE" w:rsidP="00272B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CO"/>
        </w:rPr>
      </w:pPr>
      <w:r w:rsidRPr="00272BEE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CO"/>
        </w:rPr>
        <w:t>mateo 26 :17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el </w:t>
      </w:r>
      <w:r w:rsidR="002C71ED"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anterior a la fiesta de los panes sin levadura  vinieron los </w:t>
      </w:r>
      <w:r w:rsidR="002C71ED"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discípulos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a Yeshua diciendo, donde quieres que alistemos el orden (sedef) de celebración de la Pesaj..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MI TIEMPO ESTA CERCA    en tu casa celebrare la Pesaj..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72BEE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Donde celebraras </w:t>
      </w:r>
      <w:r w:rsidRPr="00134974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tú </w:t>
      </w:r>
      <w:r w:rsidRPr="00272BEE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la PESAJ....?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1 el día anterior a Panes sin levadura (Matzot)   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que día cae?......... este domingo 13 abril ........a que Hora ? ...6 pm 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Yeshua se reúna con los discípulos la noche anterior a pesaj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Ya que EL es el cordero sustituto de la Pesaj que moriría el  día siguiente lunes a las 3 pm.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como se las arreglo el creador del universo para hacer funcionar tan bien los piñones de la mecánica celeste desde  Gen 1:14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Gen 1:14  Y dijo Dios: Sean lumbreras en la expansión de los cielos para apartar el día y la noche: y sean por señales, y para las estaciones, y para días y años; 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ver RV60...  mas vean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la en hebreo</w:t>
      </w:r>
    </w:p>
    <w:p w:rsid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Gen 1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:14  ויאמרH559  אלהיםH430  יהיH1961  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   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מארתH3974  ברקיעH7549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  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 השׁמיםH8064  להבדילH914  ביןH996  היוםH3117  וביןH996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 הלילהH3915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 והיוH1961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 לאתתH226 </w:t>
      </w:r>
      <w:r w:rsidRPr="00272BEE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 </w:t>
      </w:r>
      <w:r w:rsidRPr="00272BEE">
        <w:rPr>
          <w:rFonts w:ascii="Arial" w:eastAsia="Times New Roman" w:hAnsi="Arial" w:cs="Arial"/>
          <w:b/>
          <w:color w:val="222222"/>
          <w:sz w:val="36"/>
          <w:szCs w:val="36"/>
          <w:lang w:eastAsia="es-CO"/>
        </w:rPr>
        <w:t xml:space="preserve">ולמועדים </w:t>
      </w:r>
      <w:r w:rsidRPr="00272BEE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H4150  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ולימיםH3117  ושׁנים׃H8141  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H4150  los Moadim... las estaciones festivas ...ojo  esta palabra fue sabiamente manipulada  para que usted sea un creyente , no de su pueblo, no de sus hijos, sino uno que cree pero de una manera diferente.</w:t>
      </w: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72BEE" w:rsidRP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en la version EL REINA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hebreo español dice 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:</w:t>
      </w:r>
    </w:p>
    <w:p w:rsid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Gen 1:14  Y dijo YHVH: Sean lumbreras en la expansión de los cielos para apartar el día y la noche: y sean por leyes (señales), y para las estaciones FESTIVAS (Moadim), y para días y años; 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Versión 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“*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VER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”</w:t>
      </w:r>
      <w:r w:rsidRPr="00272B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</w:t>
      </w:r>
    </w:p>
    <w:p w:rsid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72BEE" w:rsidRDefault="00272BE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Pase a levitico 23</w:t>
      </w:r>
    </w:p>
    <w:p w:rsidR="00272BEE" w:rsidRDefault="00272BEE" w:rsidP="00272BEE">
      <w:pPr>
        <w:spacing w:after="0" w:line="240" w:lineRule="auto"/>
        <w:rPr>
          <w:rFonts w:ascii="Georgia" w:eastAsia="TITUS Cyberbit Basic" w:hAnsi="Georgia" w:cs="Georgia"/>
          <w:sz w:val="40"/>
          <w:szCs w:val="40"/>
          <w:lang w:bidi="he-IL"/>
        </w:rPr>
      </w:pPr>
      <w:r>
        <w:rPr>
          <w:rFonts w:ascii="Georgia" w:hAnsi="Georgia" w:cs="Georgia"/>
          <w:b/>
          <w:bCs/>
          <w:color w:val="800000"/>
        </w:rPr>
        <w:t>Lev 23:2</w:t>
      </w:r>
      <w:r>
        <w:rPr>
          <w:rFonts w:ascii="Georgia" w:hAnsi="Georgia" w:cs="Georgia"/>
        </w:rPr>
        <w:t xml:space="preserve"> 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דבר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H1696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אל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H413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בני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H1121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ישׂראל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H3478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ואמרת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H559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אלהם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H413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מועדי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H4150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יהוה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H3068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אשׁר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H834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תקראו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H7121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אתם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H853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מקראי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H4744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קדשׁ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H6944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אלה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H428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>
        <w:rPr>
          <w:rFonts w:ascii="TITUS Cyberbit Basic" w:eastAsia="TITUS Cyberbit Basic" w:hAnsi="Georgia" w:cs="TITUS Cyberbit Basic" w:hint="eastAsia"/>
          <w:rtl/>
          <w:lang w:bidi="he-IL"/>
        </w:rPr>
        <w:t>הם</w:t>
      </w:r>
      <w:r>
        <w:rPr>
          <w:rFonts w:ascii="Georgia" w:eastAsia="TITUS Cyberbit Basic" w:hAnsi="Georgia" w:cs="Georgia"/>
          <w:color w:val="008000"/>
          <w:vertAlign w:val="superscript"/>
          <w:lang w:bidi="he-IL"/>
        </w:rPr>
        <w:t xml:space="preserve">H1992 </w:t>
      </w:r>
      <w:r>
        <w:rPr>
          <w:rFonts w:ascii="TITUS Cyberbit Basic" w:eastAsia="TITUS Cyberbit Basic" w:hAnsi="Georgia" w:cs="TITUS Cyberbit Basic"/>
          <w:rtl/>
          <w:lang w:bidi="he-IL"/>
        </w:rPr>
        <w:t xml:space="preserve"> </w:t>
      </w:r>
      <w:r w:rsidRPr="00272BEE">
        <w:rPr>
          <w:rFonts w:ascii="TITUS Cyberbit Basic" w:eastAsia="TITUS Cyberbit Basic" w:hAnsi="Georgia" w:cs="TITUS Cyberbit Basic" w:hint="eastAsia"/>
          <w:sz w:val="40"/>
          <w:szCs w:val="40"/>
          <w:rtl/>
          <w:lang w:bidi="he-IL"/>
        </w:rPr>
        <w:t>מועדי׃</w:t>
      </w:r>
      <w:r w:rsidRPr="00272BEE">
        <w:rPr>
          <w:rFonts w:ascii="Georgia" w:eastAsia="TITUS Cyberbit Basic" w:hAnsi="Georgia" w:cs="Georgia"/>
          <w:color w:val="008000"/>
          <w:sz w:val="40"/>
          <w:szCs w:val="40"/>
          <w:vertAlign w:val="superscript"/>
          <w:lang w:bidi="he-IL"/>
        </w:rPr>
        <w:t xml:space="preserve">H4150 </w:t>
      </w:r>
      <w:r w:rsidRPr="00272BEE">
        <w:rPr>
          <w:rFonts w:ascii="Georgia" w:eastAsia="TITUS Cyberbit Basic" w:hAnsi="Georgia" w:cs="Georgia"/>
          <w:sz w:val="40"/>
          <w:szCs w:val="40"/>
          <w:lang w:bidi="he-IL"/>
        </w:rPr>
        <w:t xml:space="preserve"> </w:t>
      </w:r>
    </w:p>
    <w:p w:rsidR="00272BEE" w:rsidRDefault="00272BEE" w:rsidP="00272BEE">
      <w:pPr>
        <w:spacing w:after="0" w:line="240" w:lineRule="auto"/>
        <w:rPr>
          <w:rFonts w:ascii="Arial" w:eastAsia="TITUS Cyberbit Basic" w:hAnsi="Arial" w:cs="Arial"/>
          <w:sz w:val="24"/>
          <w:szCs w:val="24"/>
          <w:lang w:bidi="he-IL"/>
        </w:rPr>
      </w:pPr>
      <w:r w:rsidRPr="00F617BE">
        <w:rPr>
          <w:rFonts w:ascii="Arial" w:eastAsia="TITUS Cyberbit Basic" w:hAnsi="Arial" w:cs="Arial"/>
          <w:sz w:val="24"/>
          <w:szCs w:val="24"/>
          <w:lang w:bidi="he-IL"/>
        </w:rPr>
        <w:t xml:space="preserve">Fiesta anual, </w:t>
      </w:r>
      <w:r w:rsidR="00F617BE" w:rsidRPr="00F617BE">
        <w:rPr>
          <w:rFonts w:ascii="Arial" w:eastAsia="TITUS Cyberbit Basic" w:hAnsi="Arial" w:cs="Arial"/>
          <w:sz w:val="24"/>
          <w:szCs w:val="24"/>
          <w:lang w:bidi="he-IL"/>
        </w:rPr>
        <w:t>convención</w:t>
      </w:r>
      <w:r w:rsidRPr="00F617BE">
        <w:rPr>
          <w:rFonts w:ascii="Arial" w:eastAsia="TITUS Cyberbit Basic" w:hAnsi="Arial" w:cs="Arial"/>
          <w:sz w:val="24"/>
          <w:szCs w:val="24"/>
          <w:lang w:bidi="he-IL"/>
        </w:rPr>
        <w:t xml:space="preserve"> y asamblea, lugar donde se realiza </w:t>
      </w:r>
      <w:r w:rsidR="00F617BE">
        <w:rPr>
          <w:rFonts w:ascii="Arial" w:eastAsia="TITUS Cyberbit Basic" w:hAnsi="Arial" w:cs="Arial"/>
          <w:sz w:val="24"/>
          <w:szCs w:val="24"/>
          <w:lang w:bidi="he-IL"/>
        </w:rPr>
        <w:t xml:space="preserve">el </w:t>
      </w:r>
      <w:r w:rsidRPr="00F617BE">
        <w:rPr>
          <w:rFonts w:ascii="Arial" w:eastAsia="TITUS Cyberbit Basic" w:hAnsi="Arial" w:cs="Arial"/>
          <w:sz w:val="24"/>
          <w:szCs w:val="24"/>
          <w:lang w:bidi="he-IL"/>
        </w:rPr>
        <w:t>ho</w:t>
      </w:r>
      <w:r w:rsidR="00F617BE" w:rsidRPr="00F617BE">
        <w:rPr>
          <w:rFonts w:ascii="Arial" w:eastAsia="TITUS Cyberbit Basic" w:hAnsi="Arial" w:cs="Arial"/>
          <w:sz w:val="24"/>
          <w:szCs w:val="24"/>
          <w:lang w:bidi="he-IL"/>
        </w:rPr>
        <w:t>jel Moed</w:t>
      </w:r>
      <w:r w:rsidR="00F617BE">
        <w:rPr>
          <w:rFonts w:ascii="Arial" w:eastAsia="TITUS Cyberbit Basic" w:hAnsi="Arial" w:cs="Arial"/>
          <w:sz w:val="24"/>
          <w:szCs w:val="24"/>
          <w:lang w:bidi="he-IL"/>
        </w:rPr>
        <w:t xml:space="preserve"> (tienda de la Morada de su presencia)</w:t>
      </w:r>
    </w:p>
    <w:p w:rsidR="00F617BE" w:rsidRDefault="00F617BE" w:rsidP="000D35D9">
      <w:pPr>
        <w:tabs>
          <w:tab w:val="left" w:pos="6432"/>
        </w:tabs>
        <w:spacing w:after="0" w:line="240" w:lineRule="auto"/>
        <w:rPr>
          <w:rFonts w:ascii="Arial" w:eastAsia="TITUS Cyberbit Basic" w:hAnsi="Arial" w:cs="Arial"/>
          <w:sz w:val="24"/>
          <w:szCs w:val="24"/>
          <w:lang w:bidi="he-IL"/>
        </w:rPr>
      </w:pPr>
      <w:r>
        <w:rPr>
          <w:rFonts w:ascii="Arial" w:eastAsia="TITUS Cyberbit Basic" w:hAnsi="Arial" w:cs="Arial"/>
          <w:sz w:val="24"/>
          <w:szCs w:val="24"/>
          <w:lang w:bidi="he-IL"/>
        </w:rPr>
        <w:t>Esta asociado a las fiestas de Elohym Dios de Israel.</w:t>
      </w:r>
      <w:r w:rsidR="000D35D9">
        <w:rPr>
          <w:rFonts w:ascii="Arial" w:eastAsia="TITUS Cyberbit Basic" w:hAnsi="Arial" w:cs="Arial"/>
          <w:sz w:val="24"/>
          <w:szCs w:val="24"/>
          <w:lang w:bidi="he-IL"/>
        </w:rPr>
        <w:tab/>
      </w:r>
      <w:bookmarkStart w:id="0" w:name="_GoBack"/>
      <w:bookmarkEnd w:id="0"/>
    </w:p>
    <w:p w:rsidR="00F617BE" w:rsidRDefault="00F617BE" w:rsidP="00272BEE">
      <w:pPr>
        <w:spacing w:after="0" w:line="240" w:lineRule="auto"/>
        <w:rPr>
          <w:rFonts w:ascii="Arial" w:eastAsia="TITUS Cyberbit Basic" w:hAnsi="Arial" w:cs="Arial"/>
          <w:sz w:val="24"/>
          <w:szCs w:val="24"/>
          <w:lang w:bidi="he-IL"/>
        </w:rPr>
      </w:pPr>
    </w:p>
    <w:p w:rsidR="00F617BE" w:rsidRDefault="00F617BE" w:rsidP="00272BEE">
      <w:pPr>
        <w:spacing w:after="0" w:line="240" w:lineRule="auto"/>
        <w:rPr>
          <w:rFonts w:ascii="Arial" w:eastAsia="TITUS Cyberbit Basic" w:hAnsi="Arial" w:cs="Arial"/>
          <w:sz w:val="24"/>
          <w:szCs w:val="24"/>
          <w:lang w:bidi="he-IL"/>
        </w:rPr>
      </w:pPr>
      <w:r>
        <w:rPr>
          <w:rFonts w:ascii="Arial" w:eastAsia="TITUS Cyberbit Basic" w:hAnsi="Arial" w:cs="Arial"/>
          <w:sz w:val="24"/>
          <w:szCs w:val="24"/>
          <w:lang w:bidi="he-IL"/>
        </w:rPr>
        <w:t>Bueno, quizá tus maestros de doctrina escogieron por ti en que crees de la biblia y que cosas en su pleno conocimiento como los maestros de la ley, que no aplica para ti, porque son solo para los hijos de Israel y para su pueblo Juda.</w:t>
      </w:r>
    </w:p>
    <w:p w:rsidR="00F617BE" w:rsidRDefault="00F617BE" w:rsidP="00F617B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Arial" w:eastAsia="TITUS Cyberbit Basic" w:hAnsi="Arial" w:cs="Arial"/>
          <w:sz w:val="24"/>
          <w:szCs w:val="24"/>
          <w:lang w:bidi="he-IL"/>
        </w:rPr>
        <w:lastRenderedPageBreak/>
        <w:t>La reina Valera dice  “</w:t>
      </w:r>
      <w:r>
        <w:rPr>
          <w:rFonts w:ascii="Georgia" w:hAnsi="Georgia" w:cs="Georgia"/>
          <w:color w:val="008080"/>
        </w:rPr>
        <w:t>Lev 23:1</w:t>
      </w:r>
      <w:r>
        <w:rPr>
          <w:rFonts w:ascii="Georgia" w:hAnsi="Georgia" w:cs="Georgia"/>
        </w:rPr>
        <w:t xml:space="preserve">  Y HABLO Jehová á Moisés, diciendo: </w:t>
      </w:r>
    </w:p>
    <w:p w:rsidR="00F617BE" w:rsidRDefault="00F617BE" w:rsidP="00F617B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TUS Cyberbit Basic" w:hAnsi="Arial" w:cs="Arial"/>
          <w:sz w:val="24"/>
          <w:szCs w:val="24"/>
          <w:lang w:bidi="he-IL"/>
        </w:rPr>
      </w:pPr>
      <w:r>
        <w:rPr>
          <w:rFonts w:ascii="Georgia" w:hAnsi="Georgia" w:cs="Georgia"/>
          <w:color w:val="008080"/>
        </w:rPr>
        <w:t>Lev 23:2</w:t>
      </w:r>
      <w:r>
        <w:rPr>
          <w:rFonts w:ascii="Georgia" w:hAnsi="Georgia" w:cs="Georgia"/>
        </w:rPr>
        <w:t xml:space="preserve">  </w:t>
      </w:r>
      <w:r w:rsidRPr="00F617BE">
        <w:rPr>
          <w:rFonts w:ascii="Georgia" w:hAnsi="Georgia" w:cs="Georgia"/>
          <w:sz w:val="28"/>
          <w:szCs w:val="28"/>
        </w:rPr>
        <w:t xml:space="preserve">Habla á los hijos de Israel, </w:t>
      </w:r>
      <w:r>
        <w:rPr>
          <w:rFonts w:ascii="Georgia" w:hAnsi="Georgia" w:cs="Georgia"/>
        </w:rPr>
        <w:t xml:space="preserve">y diles: Las solemnidades de Jehová, las cuales proclamaréis santas convocaciones, aquestas serán mis solemnidades. </w:t>
      </w:r>
      <w:r>
        <w:rPr>
          <w:rFonts w:ascii="Arial" w:eastAsia="TITUS Cyberbit Basic" w:hAnsi="Arial" w:cs="Arial"/>
          <w:sz w:val="24"/>
          <w:szCs w:val="24"/>
          <w:lang w:bidi="he-IL"/>
        </w:rPr>
        <w:t>”</w:t>
      </w:r>
    </w:p>
    <w:p w:rsidR="00F617BE" w:rsidRDefault="00F617BE" w:rsidP="00F617B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80"/>
        </w:rPr>
      </w:pPr>
    </w:p>
    <w:p w:rsidR="00F617BE" w:rsidRDefault="00F617BE" w:rsidP="00F617B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TUS Cyberbit Basic" w:hAnsi="Arial" w:cs="Arial"/>
          <w:sz w:val="24"/>
          <w:szCs w:val="24"/>
          <w:lang w:bidi="he-IL"/>
        </w:rPr>
      </w:pPr>
      <w:r>
        <w:rPr>
          <w:rFonts w:ascii="Arial" w:eastAsia="TITUS Cyberbit Basic" w:hAnsi="Arial" w:cs="Arial"/>
          <w:sz w:val="24"/>
          <w:szCs w:val="24"/>
          <w:lang w:bidi="he-IL"/>
        </w:rPr>
        <w:t>Solo que lea a Jehová  como  Elohym, YHVH o YAwe  como  le fue revelado.</w:t>
      </w:r>
    </w:p>
    <w:p w:rsidR="00F617BE" w:rsidRDefault="00F617BE" w:rsidP="00F617B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TUS Cyberbit Basic" w:hAnsi="Arial" w:cs="Arial"/>
          <w:sz w:val="24"/>
          <w:szCs w:val="24"/>
          <w:lang w:bidi="he-IL"/>
        </w:rPr>
      </w:pPr>
    </w:p>
    <w:p w:rsidR="00F617BE" w:rsidRDefault="00F617B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 quien hablo? A los hijos de Israel, a las 12 tribus de las cuales judíos son solo 1 y los demás los dispersos entre las naciones que se sienten pueblo de EL en la tierra y el hijo prodigo que regresa.</w:t>
      </w:r>
    </w:p>
    <w:p w:rsidR="00F617BE" w:rsidRDefault="00F617B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617BE" w:rsidRDefault="00F617BE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Si usted se considera hijo, es para usted, porque la biblia fue escrita y entregada a su pueblo para que la </w:t>
      </w:r>
      <w:r w:rsidR="009B113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obedezca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Ahora… esto contempla el shabath….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Hey…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esto no te vuelve ADVENTISTA, ni JUDIO, ya que toda la tierra esta obligada a guardarlo… Verdad…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O tu tienes un evangelio nuevo en el que no aparece el mandato 4 “Guardar shabath”  …ojo… esto no es reposo  de pereza, sino mucha actividad en las cosas de EL..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Pero es Shabat el sábado?……NO ,  es un tiempo Moadim  entre viernes a las 6pm y sábado a las 6,   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Solo los fines de semana? NO… puede caer cualquier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festivo Moadim de las 7 fiestas de levitico y  durar solo 1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hasta una semana…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404752" w:rsidRDefault="00404752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Mira 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Moadim de Pesaj … domingo 6pm que es Lunes en calendario bíblico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Moadim Panes ni leudar … lunes a siguiente domingo  7 dias celebraras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Por estatuto perpetuo…. Aunque para algunos estudiosos perpetuo es hasta la muerte de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Jesús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  Imagínate¡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Moadim primicias…. 3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días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después de su muerte, El retorno a la vida, primogénito de los muertos, primogénito de los que retornan, cae jueves santo, como tu lo llamas.</w:t>
      </w: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9B113F" w:rsidRDefault="009B113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Como hizo Dios para hacer coincidir  los</w:t>
      </w:r>
      <w:r w:rsidR="0028111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eventos importantes de Yeshua  con los Moadim , las fiestas bíblicas…..   estatuto perpetuo.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Yeshua  las cumple..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Engendrado….. Januka…. Fiesta de las luces…. La luz del mundo viene al mundo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Nace ………..Sukot………fiesta de cabañas…..para Roma ….. el dia del pesebre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Muere……Pesaj………cordero inmolado…… cordero de Dios que quita el pecado</w:t>
      </w:r>
    </w:p>
    <w:p w:rsidR="00F617BE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Resucita…primicias…..3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días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después de Pesaj….  El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primogénito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en Todo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Derrama..Shavuot…. el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50 (Reino)…  en pentecostés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Le falto por cumplir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Yom Terua…. Las trompetas…. Ya que aparecerá  en la trompeta final 9no dia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YomKipur……el dia del juicio….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aparecerá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para juzgar a vivos y muertos</w:t>
      </w: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281111" w:rsidRDefault="00281111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lastRenderedPageBreak/>
        <w:t xml:space="preserve">Pero que tiene que ver Pesaj , los 7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días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,  que es una semana  completa, donde te guardas de la levadura(del pecado)… </w:t>
      </w:r>
      <w:r w:rsidR="0039135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para mi es claro que tiene que ver con la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convivencia</w:t>
      </w:r>
      <w:r w:rsidR="0039135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en gozo y fiesta de las bodas del cordero, o del milenio , una semana con el .</w:t>
      </w:r>
    </w:p>
    <w:p w:rsidR="0039135F" w:rsidRDefault="0039135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Cabañas son 7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días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afirma en zac 14 que  al final de la gran guerra, los que queden vivos deben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asistir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a la fiesta de cabañas  … si no conoces la cultura ya erraste por que no se llama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así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sino SUKOT.. 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so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pena de castigo por no asistir ..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léelo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..</w:t>
      </w:r>
    </w:p>
    <w:p w:rsidR="0039135F" w:rsidRDefault="0039135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39135F" w:rsidRDefault="0039135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Ahora  quiere claves astronómicas…</w:t>
      </w:r>
    </w:p>
    <w:p w:rsidR="0039135F" w:rsidRDefault="0039135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Por que  Elohym programa las fiestas con la luna y no como Roma las programa con el SOL..</w:t>
      </w:r>
    </w:p>
    <w:p w:rsidR="0039135F" w:rsidRDefault="0039135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Sus lunas nuevas(Novilunios) las cuales menospreciaste cada mes y los plenilunios son el ritmo de las fiestas gen 1:14…</w:t>
      </w:r>
    </w:p>
    <w:p w:rsidR="0039135F" w:rsidRDefault="0039135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Pero si te digo que la señal  es mas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mecánica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científica de lo que te imaginas.</w:t>
      </w:r>
    </w:p>
    <w:p w:rsidR="0039135F" w:rsidRDefault="0039135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Porque Elohym en ese año uno de génesis 14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pidió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mirar las señales</w:t>
      </w:r>
    </w:p>
    <w:p w:rsidR="0039135F" w:rsidRDefault="0039135F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Cuando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más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pidió estar atento a las señales.</w:t>
      </w:r>
    </w:p>
    <w:p w:rsidR="0039135F" w:rsidRDefault="00CA7513" w:rsidP="00CA75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Isa 1:13-14  las que aborreces </w:t>
      </w:r>
    </w:p>
    <w:p w:rsidR="00CA7513" w:rsidRDefault="00CA7513" w:rsidP="00CA75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Ezeq 45:17</w:t>
      </w:r>
    </w:p>
    <w:p w:rsidR="00CA7513" w:rsidRDefault="00CA7513" w:rsidP="00CA75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Joel 2:10</w:t>
      </w:r>
    </w:p>
    <w:p w:rsidR="00CA7513" w:rsidRDefault="00CA7513" w:rsidP="00CA75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Joel 2:31  luna de sangre</w:t>
      </w:r>
    </w:p>
    <w:p w:rsidR="00CA7513" w:rsidRDefault="00CA7513" w:rsidP="00CA75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Mt 24:29</w:t>
      </w:r>
    </w:p>
    <w:p w:rsidR="00CA7513" w:rsidRDefault="00CA7513" w:rsidP="00CA75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Hechos 2:20 luna de sangre</w:t>
      </w:r>
    </w:p>
    <w:p w:rsidR="00CA7513" w:rsidRDefault="00CA7513" w:rsidP="00CA75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Col 2:16 las moadim  fiestas, novilunios y reposo</w:t>
      </w:r>
    </w:p>
    <w:p w:rsidR="00CA7513" w:rsidRDefault="00CA7513" w:rsidP="00CA751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Apoc 6:12  luna de sangre</w:t>
      </w:r>
    </w:p>
    <w:p w:rsidR="00CA7513" w:rsidRDefault="00CA7513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39135F" w:rsidRDefault="00134974" w:rsidP="00272B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Como hizo EL para que las fiestas le </w:t>
      </w:r>
      <w:r w:rsidR="00CA751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coincida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“Lunas rojas de sangre”  en sus fiestas en una Tetrada (4 eclipses lunares)  con un eclipse de sol, el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que muere en el año 33 y el </w:t>
      </w:r>
      <w:r w:rsidR="002C71ED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día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que el templo fue destruido por Tito, como ocurre este año, fiesta, shabat y lunas de sangre de Joel, Mateo y hechos  como le veras ahora</w:t>
      </w:r>
    </w:p>
    <w:p w:rsidR="00134974" w:rsidRDefault="00134974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Eclipses de Luna   y lunas rojas</w:t>
      </w: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</w:pPr>
    </w:p>
    <w:p w:rsidR="00134974" w:rsidRPr="00134974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15 Abril del año 2014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    Eclipse Total</w:t>
      </w:r>
    </w:p>
    <w:p w:rsidR="00134974" w:rsidRPr="00134974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Fase máxima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7:48 UT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>Magnitud de Penumbra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2.323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     Magnitud de Umbra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1.295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 xml:space="preserve">Duraciones parciales: 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 xml:space="preserve">Penumbra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10h 22m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      Umbra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1h 35m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      Total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2.1m</w:t>
      </w:r>
    </w:p>
    <w:tbl>
      <w:tblPr>
        <w:tblW w:w="8388" w:type="dxa"/>
        <w:jc w:val="center"/>
        <w:tblCellSpacing w:w="0" w:type="dxa"/>
        <w:tblInd w:w="-116" w:type="dxa"/>
        <w:tblBorders>
          <w:top w:val="outset" w:sz="6" w:space="0" w:color="E77817"/>
          <w:left w:val="outset" w:sz="6" w:space="0" w:color="E77817"/>
          <w:bottom w:val="outset" w:sz="6" w:space="0" w:color="E77817"/>
          <w:right w:val="outset" w:sz="6" w:space="0" w:color="E77817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19"/>
        <w:gridCol w:w="806"/>
        <w:gridCol w:w="1077"/>
        <w:gridCol w:w="393"/>
        <w:gridCol w:w="1212"/>
        <w:gridCol w:w="660"/>
        <w:gridCol w:w="799"/>
        <w:gridCol w:w="393"/>
        <w:gridCol w:w="1129"/>
      </w:tblGrid>
      <w:tr w:rsidR="00134974" w:rsidRPr="00134974" w:rsidTr="00A80CB9">
        <w:trPr>
          <w:trHeight w:val="312"/>
          <w:tblCellSpacing w:w="0" w:type="dxa"/>
          <w:jc w:val="center"/>
        </w:trPr>
        <w:tc>
          <w:tcPr>
            <w:tcW w:w="1149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hyperlink r:id="rId9" w:history="1">
              <w:r w:rsidRPr="00134974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val="es-ES" w:eastAsia="es-CO"/>
                </w:rPr>
                <w:t>Pesaj</w:t>
              </w:r>
            </w:hyperlink>
            <w:hyperlink r:id="rId10" w:history="1">
              <w:r w:rsidRPr="00134974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val="es-ES" w:eastAsia="es-CO"/>
                </w:rPr>
                <w:t xml:space="preserve"> </w:t>
              </w:r>
            </w:hyperlink>
          </w:p>
        </w:tc>
        <w:tc>
          <w:tcPr>
            <w:tcW w:w="485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(8)</w:t>
            </w:r>
          </w:p>
        </w:tc>
        <w:tc>
          <w:tcPr>
            <w:tcW w:w="647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Martes</w:t>
            </w:r>
          </w:p>
        </w:tc>
        <w:tc>
          <w:tcPr>
            <w:tcW w:w="227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15</w:t>
            </w:r>
          </w:p>
        </w:tc>
        <w:tc>
          <w:tcPr>
            <w:tcW w:w="727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Abril</w:t>
            </w:r>
          </w:p>
        </w:tc>
        <w:tc>
          <w:tcPr>
            <w:tcW w:w="379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2014</w:t>
            </w:r>
          </w:p>
        </w:tc>
        <w:tc>
          <w:tcPr>
            <w:tcW w:w="481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 xml:space="preserve">Nisan </w:t>
            </w:r>
          </w:p>
        </w:tc>
        <w:tc>
          <w:tcPr>
            <w:tcW w:w="227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 xml:space="preserve">15 </w:t>
            </w:r>
          </w:p>
        </w:tc>
        <w:tc>
          <w:tcPr>
            <w:tcW w:w="678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5774</w:t>
            </w:r>
          </w:p>
        </w:tc>
      </w:tr>
    </w:tbl>
    <w:p w:rsidR="003816F5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Cae Martes ………………………………………………</w:t>
      </w:r>
      <w:r w:rsidR="003816F5">
        <w:rPr>
          <w:rFonts w:ascii="Arial" w:eastAsia="Times New Roman" w:hAnsi="Arial" w:cs="Arial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3864055" cy="4114800"/>
            <wp:effectExtent l="0" t="0" r="317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2014-04-15T  pesaj 201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05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134974" w:rsidRPr="00134974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8 Octubre del año 2014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    Eclipse Total</w:t>
      </w:r>
    </w:p>
    <w:p w:rsidR="00134974" w:rsidRPr="00134974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Fase máxima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10:54 UT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>Magnitud de Penumbra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2.138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     Magnitud de Umbra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1.159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 xml:space="preserve">Duraciones parciales: 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 xml:space="preserve">Penumbra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8h 57m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      Umbra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1h 23m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      Total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1m</w:t>
      </w:r>
    </w:p>
    <w:p w:rsidR="003816F5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Cae Miercoles ………………………………………………</w:t>
      </w: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4579620" cy="48768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2014-10-08T   sukot 201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3816F5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3816F5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Pesaj del 2015</w:t>
      </w:r>
    </w:p>
    <w:p w:rsidR="00134974" w:rsidRPr="00134974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4 Abril del año 2015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    Eclipse Total</w:t>
      </w:r>
    </w:p>
    <w:p w:rsidR="00134974" w:rsidRPr="00134974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Fase máxima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12:00 UT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>Magnitud de Penumbra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2.074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     Magnitud de Umbra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0.994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 xml:space="preserve">Duraciones parciales: 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 xml:space="preserve">Penumbra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10h 18m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      Umbra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1h 12m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      Total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0.9m</w:t>
      </w:r>
    </w:p>
    <w:tbl>
      <w:tblPr>
        <w:tblW w:w="8388" w:type="dxa"/>
        <w:jc w:val="center"/>
        <w:tblCellSpacing w:w="0" w:type="dxa"/>
        <w:tblInd w:w="-116" w:type="dxa"/>
        <w:tblBorders>
          <w:top w:val="outset" w:sz="6" w:space="0" w:color="E77817"/>
          <w:left w:val="outset" w:sz="6" w:space="0" w:color="E77817"/>
          <w:bottom w:val="outset" w:sz="6" w:space="0" w:color="E77817"/>
          <w:right w:val="outset" w:sz="6" w:space="0" w:color="E77817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22"/>
        <w:gridCol w:w="808"/>
        <w:gridCol w:w="1080"/>
        <w:gridCol w:w="376"/>
        <w:gridCol w:w="1215"/>
        <w:gridCol w:w="660"/>
        <w:gridCol w:w="802"/>
        <w:gridCol w:w="393"/>
        <w:gridCol w:w="1132"/>
      </w:tblGrid>
      <w:tr w:rsidR="00134974" w:rsidRPr="00134974" w:rsidTr="00A80CB9">
        <w:trPr>
          <w:trHeight w:val="312"/>
          <w:tblCellSpacing w:w="0" w:type="dxa"/>
          <w:jc w:val="center"/>
        </w:trPr>
        <w:tc>
          <w:tcPr>
            <w:tcW w:w="1149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hyperlink r:id="rId13" w:history="1">
              <w:r w:rsidRPr="00134974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val="es-ES" w:eastAsia="es-CO"/>
                </w:rPr>
                <w:t>Pesaj</w:t>
              </w:r>
            </w:hyperlink>
            <w:hyperlink r:id="rId14" w:history="1">
              <w:r w:rsidRPr="00134974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val="es-ES" w:eastAsia="es-CO"/>
                </w:rPr>
                <w:t xml:space="preserve"> </w:t>
              </w:r>
            </w:hyperlink>
          </w:p>
        </w:tc>
        <w:tc>
          <w:tcPr>
            <w:tcW w:w="485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(8)</w:t>
            </w:r>
          </w:p>
        </w:tc>
        <w:tc>
          <w:tcPr>
            <w:tcW w:w="647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Martes</w:t>
            </w:r>
          </w:p>
        </w:tc>
        <w:tc>
          <w:tcPr>
            <w:tcW w:w="227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4</w:t>
            </w:r>
          </w:p>
        </w:tc>
        <w:tc>
          <w:tcPr>
            <w:tcW w:w="727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Abril</w:t>
            </w:r>
          </w:p>
        </w:tc>
        <w:tc>
          <w:tcPr>
            <w:tcW w:w="379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2015</w:t>
            </w:r>
          </w:p>
        </w:tc>
        <w:tc>
          <w:tcPr>
            <w:tcW w:w="481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 xml:space="preserve">Nisan </w:t>
            </w:r>
          </w:p>
        </w:tc>
        <w:tc>
          <w:tcPr>
            <w:tcW w:w="227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 xml:space="preserve">15 </w:t>
            </w:r>
          </w:p>
        </w:tc>
        <w:tc>
          <w:tcPr>
            <w:tcW w:w="678" w:type="pct"/>
            <w:tcBorders>
              <w:top w:val="outset" w:sz="6" w:space="0" w:color="E77817"/>
              <w:left w:val="outset" w:sz="6" w:space="0" w:color="E77817"/>
              <w:bottom w:val="outset" w:sz="6" w:space="0" w:color="E77817"/>
              <w:right w:val="outset" w:sz="6" w:space="0" w:color="E77817"/>
            </w:tcBorders>
            <w:shd w:val="clear" w:color="auto" w:fill="FFFFFF"/>
            <w:vAlign w:val="center"/>
            <w:hideMark/>
          </w:tcPr>
          <w:p w:rsidR="00134974" w:rsidRPr="00134974" w:rsidRDefault="00134974" w:rsidP="001349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</w:pPr>
            <w:r w:rsidRPr="00134974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CO"/>
              </w:rPr>
              <w:t>5775</w:t>
            </w:r>
          </w:p>
        </w:tc>
      </w:tr>
    </w:tbl>
    <w:p w:rsidR="00CA7513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</w:r>
      <w:r w:rsidR="00CA7513">
        <w:rPr>
          <w:rFonts w:ascii="Arial" w:eastAsia="Times New Roman" w:hAnsi="Arial" w:cs="Arial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4579620" cy="48768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2015-04-04T   pesaj 2015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</w:t>
      </w: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134974" w:rsidRPr="00134974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28 Septiembre del año 2015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    Eclipse Total</w:t>
      </w:r>
    </w:p>
    <w:p w:rsidR="00134974" w:rsidRPr="00134974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Fase máxima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2:46 UT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>Magnitud de Penumbra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2.228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     Magnitud de Umbra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1.275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 xml:space="preserve">Duraciones parciales: 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br/>
        <w:t xml:space="preserve">Penumbra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8h 51m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      Umbra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1h 31m</w:t>
      </w:r>
      <w:r w:rsidRPr="00134974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 xml:space="preserve">      Total </w:t>
      </w:r>
      <w:r w:rsidRPr="00134974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>2m</w:t>
      </w:r>
    </w:p>
    <w:p w:rsidR="00134974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CO"/>
        </w:rPr>
        <w:drawing>
          <wp:inline distT="0" distB="0" distL="0" distR="0">
            <wp:extent cx="4579620" cy="48768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2015-09-28T   sukot 2015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CA7513" w:rsidRPr="00134974" w:rsidRDefault="00CA7513" w:rsidP="001349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</w:pPr>
    </w:p>
    <w:p w:rsidR="0050239F" w:rsidRDefault="00134974">
      <w:r>
        <w:t xml:space="preserve">Como puede </w:t>
      </w:r>
      <w:r w:rsidR="002C71ED">
        <w:t>engranar</w:t>
      </w:r>
      <w:r>
        <w:t xml:space="preserve"> tan acertadamente fiesta, reloj astronómico, eclipse lunar de sangre  , muy pocos y </w:t>
      </w:r>
      <w:r w:rsidR="00CA7513">
        <w:t>extraños</w:t>
      </w:r>
      <w:r>
        <w:t xml:space="preserve"> con todos los eventos bíblicos.</w:t>
      </w:r>
    </w:p>
    <w:p w:rsidR="00134974" w:rsidRDefault="00134974"/>
    <w:p w:rsidR="00134974" w:rsidRDefault="00134974">
      <w:r>
        <w:t>Definitivamente Dios es muy Grande, mas que la mente Humana y cualquier predicción científica..</w:t>
      </w:r>
    </w:p>
    <w:p w:rsidR="00134974" w:rsidRPr="00272BEE" w:rsidRDefault="00134974" w:rsidP="00134974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72BEE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Donde celebraras </w:t>
      </w:r>
      <w:r w:rsidRPr="00134974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tú </w:t>
      </w:r>
      <w:r w:rsidRPr="00272BEE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la PESAJ....?</w:t>
      </w:r>
    </w:p>
    <w:p w:rsidR="00134974" w:rsidRDefault="00134974"/>
    <w:p w:rsidR="00134974" w:rsidRDefault="00134974">
      <w:r>
        <w:t xml:space="preserve">Si no tienes donde , te invito a la nuestra , si vives en Cali, solo que hasta mañana tienes tiempo  para inscribirte, la cena vale 6000, 3 dolares, </w:t>
      </w:r>
    </w:p>
    <w:p w:rsidR="00134974" w:rsidRDefault="00134974">
      <w:r>
        <w:t>Me timbras   al 311 642 1330..</w:t>
      </w:r>
    </w:p>
    <w:p w:rsidR="00134974" w:rsidRDefault="00134974"/>
    <w:p w:rsidR="00134974" w:rsidRDefault="00134974"/>
    <w:p w:rsidR="00134974" w:rsidRDefault="00134974"/>
    <w:p w:rsidR="00134974" w:rsidRDefault="00134974"/>
    <w:sectPr w:rsidR="00134974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F5" w:rsidRDefault="00D878F5" w:rsidP="002C71ED">
      <w:pPr>
        <w:spacing w:after="0" w:line="240" w:lineRule="auto"/>
      </w:pPr>
      <w:r>
        <w:separator/>
      </w:r>
    </w:p>
  </w:endnote>
  <w:endnote w:type="continuationSeparator" w:id="0">
    <w:p w:rsidR="00D878F5" w:rsidRDefault="00D878F5" w:rsidP="002C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F5" w:rsidRDefault="00D878F5" w:rsidP="002C71ED">
      <w:pPr>
        <w:spacing w:after="0" w:line="240" w:lineRule="auto"/>
      </w:pPr>
      <w:r>
        <w:separator/>
      </w:r>
    </w:p>
  </w:footnote>
  <w:footnote w:type="continuationSeparator" w:id="0">
    <w:p w:rsidR="00D878F5" w:rsidRDefault="00D878F5" w:rsidP="002C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ED" w:rsidRDefault="001B41F7">
    <w:pPr>
      <w:pStyle w:val="Encabezado"/>
    </w:pPr>
    <w:r>
      <w:t xml:space="preserve">PESAJ Y LUNAS DE SANGRE </w:t>
    </w:r>
    <w:r w:rsidR="002C71ED">
      <w:t xml:space="preserve">   www.porcionsemanal.jimdo.com</w:t>
    </w:r>
    <w:sdt>
      <w:sdtPr>
        <w:id w:val="-405148897"/>
        <w:docPartObj>
          <w:docPartGallery w:val="Page Numbers (Margins)"/>
          <w:docPartUnique/>
        </w:docPartObj>
      </w:sdtPr>
      <w:sdtContent>
        <w:r w:rsidR="002C71E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386E2C" wp14:editId="7FE74E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1ED" w:rsidRDefault="002C71ED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17354" w:rsidRPr="007173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2C71ED" w:rsidRDefault="002C71ED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17354" w:rsidRPr="0071735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6318"/>
    <w:multiLevelType w:val="hybridMultilevel"/>
    <w:tmpl w:val="ACBAE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EE"/>
    <w:rsid w:val="000D35D9"/>
    <w:rsid w:val="00134974"/>
    <w:rsid w:val="001B41F7"/>
    <w:rsid w:val="00272BEE"/>
    <w:rsid w:val="00281111"/>
    <w:rsid w:val="002C71ED"/>
    <w:rsid w:val="003816F5"/>
    <w:rsid w:val="0039135F"/>
    <w:rsid w:val="00404752"/>
    <w:rsid w:val="0050239F"/>
    <w:rsid w:val="00717354"/>
    <w:rsid w:val="009B113F"/>
    <w:rsid w:val="00CA7513"/>
    <w:rsid w:val="00D878F5"/>
    <w:rsid w:val="00F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49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6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5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7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1ED"/>
  </w:style>
  <w:style w:type="paragraph" w:styleId="Piedepgina">
    <w:name w:val="footer"/>
    <w:basedOn w:val="Normal"/>
    <w:link w:val="PiedepginaCar"/>
    <w:uiPriority w:val="99"/>
    <w:unhideWhenUsed/>
    <w:rsid w:val="002C7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1ED"/>
  </w:style>
  <w:style w:type="character" w:styleId="Nmerodepgina">
    <w:name w:val="page number"/>
    <w:basedOn w:val="Fuentedeprrafopredeter"/>
    <w:uiPriority w:val="99"/>
    <w:unhideWhenUsed/>
    <w:rsid w:val="002C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49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6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5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7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1ED"/>
  </w:style>
  <w:style w:type="paragraph" w:styleId="Piedepgina">
    <w:name w:val="footer"/>
    <w:basedOn w:val="Normal"/>
    <w:link w:val="PiedepginaCar"/>
    <w:uiPriority w:val="99"/>
    <w:unhideWhenUsed/>
    <w:rsid w:val="002C7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1ED"/>
  </w:style>
  <w:style w:type="character" w:styleId="Nmerodepgina">
    <w:name w:val="page number"/>
    <w:basedOn w:val="Fuentedeprrafopredeter"/>
    <w:uiPriority w:val="99"/>
    <w:unhideWhenUsed/>
    <w:rsid w:val="002C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lacole.com/fiestas/pesaj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hyperlink" Target="http://www.delacole.com/fiestas/pesaj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lacole.com/fiestas/pesaj.shtml" TargetMode="External"/><Relationship Id="rId14" Type="http://schemas.openxmlformats.org/officeDocument/2006/relationships/hyperlink" Target="http://www.delacole.com/fiestas/pesaj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722B-6F2B-40FD-A17E-3F7B98F0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LUISFERNANDO</dc:creator>
  <cp:lastModifiedBy>LUISFERNANDO</cp:lastModifiedBy>
  <cp:revision>2</cp:revision>
  <dcterms:created xsi:type="dcterms:W3CDTF">2014-04-09T19:15:00Z</dcterms:created>
  <dcterms:modified xsi:type="dcterms:W3CDTF">2014-04-09T19:15:00Z</dcterms:modified>
</cp:coreProperties>
</file>